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96680">
      <w:pPr>
        <w:spacing w:line="560" w:lineRule="exact"/>
        <w:jc w:val="center"/>
        <w:rPr>
          <w:rFonts w:hint="eastAsia" w:ascii="黑体" w:hAnsi="黑体" w:eastAsia="黑体" w:cs="黑体"/>
          <w:b/>
          <w:bCs/>
          <w:sz w:val="36"/>
          <w:szCs w:val="36"/>
        </w:rPr>
      </w:pPr>
      <w:r>
        <w:rPr>
          <w:rFonts w:hint="eastAsia" w:ascii="黑体" w:hAnsi="黑体" w:eastAsia="黑体" w:cs="黑体"/>
          <w:b/>
          <w:bCs/>
          <w:sz w:val="36"/>
          <w:szCs w:val="36"/>
        </w:rPr>
        <w:t>南阳市建筑装饰工程“卧龙杯”</w:t>
      </w:r>
      <w:r>
        <w:rPr>
          <w:rFonts w:hint="eastAsia" w:ascii="黑体" w:hAnsi="黑体" w:eastAsia="黑体" w:cs="黑体"/>
          <w:b/>
          <w:bCs/>
          <w:sz w:val="36"/>
          <w:szCs w:val="36"/>
          <w:lang w:eastAsia="zh-CN"/>
        </w:rPr>
        <w:t>金</w:t>
      </w:r>
      <w:r>
        <w:rPr>
          <w:rFonts w:hint="eastAsia" w:ascii="黑体" w:hAnsi="黑体" w:eastAsia="黑体" w:cs="黑体"/>
          <w:b/>
          <w:bCs/>
          <w:sz w:val="36"/>
          <w:szCs w:val="36"/>
        </w:rPr>
        <w:t>奖（市</w:t>
      </w:r>
    </w:p>
    <w:p w14:paraId="708A7A97">
      <w:pPr>
        <w:spacing w:line="560" w:lineRule="exact"/>
        <w:jc w:val="center"/>
        <w:rPr>
          <w:rFonts w:hint="eastAsia" w:ascii="黑体" w:hAnsi="黑体" w:eastAsia="黑体" w:cs="黑体"/>
          <w:b/>
          <w:bCs/>
          <w:sz w:val="36"/>
          <w:szCs w:val="36"/>
        </w:rPr>
      </w:pPr>
      <w:r>
        <w:rPr>
          <w:rFonts w:hint="eastAsia" w:ascii="黑体" w:hAnsi="黑体" w:eastAsia="黑体" w:cs="黑体"/>
          <w:b/>
          <w:bCs/>
          <w:sz w:val="36"/>
          <w:szCs w:val="36"/>
        </w:rPr>
        <w:t>优装饰工程）</w:t>
      </w:r>
      <w:r>
        <w:rPr>
          <w:rFonts w:hint="eastAsia" w:ascii="黑体" w:hAnsi="黑体" w:eastAsia="黑体" w:cs="黑体"/>
          <w:b/>
          <w:bCs/>
          <w:sz w:val="36"/>
          <w:szCs w:val="36"/>
          <w:lang w:eastAsia="zh-CN"/>
        </w:rPr>
        <w:t>、</w:t>
      </w:r>
      <w:r>
        <w:rPr>
          <w:rFonts w:hint="eastAsia" w:ascii="黑体" w:hAnsi="黑体" w:eastAsia="黑体" w:cs="黑体"/>
          <w:b/>
          <w:bCs/>
          <w:sz w:val="36"/>
          <w:szCs w:val="36"/>
        </w:rPr>
        <w:t>卧龙杯”银奖（用户</w:t>
      </w:r>
    </w:p>
    <w:p w14:paraId="57DDF705">
      <w:pPr>
        <w:spacing w:line="560" w:lineRule="exact"/>
        <w:jc w:val="center"/>
        <w:rPr>
          <w:rFonts w:hint="eastAsia" w:ascii="黑体" w:hAnsi="黑体" w:eastAsia="黑体" w:cs="黑体"/>
          <w:b/>
          <w:bCs/>
          <w:sz w:val="36"/>
          <w:szCs w:val="36"/>
        </w:rPr>
      </w:pPr>
      <w:r>
        <w:rPr>
          <w:rFonts w:hint="eastAsia" w:ascii="黑体" w:hAnsi="黑体" w:eastAsia="黑体" w:cs="黑体"/>
          <w:b/>
          <w:bCs/>
          <w:sz w:val="36"/>
          <w:szCs w:val="36"/>
        </w:rPr>
        <w:t>满意装饰工程）评选办法</w:t>
      </w:r>
    </w:p>
    <w:p w14:paraId="6E7409C1">
      <w:pPr>
        <w:adjustRightInd w:val="0"/>
        <w:snapToGrid w:val="0"/>
        <w:spacing w:line="540" w:lineRule="exact"/>
        <w:jc w:val="center"/>
        <w:rPr>
          <w:rFonts w:ascii="宋体" w:hAnsi="宋体"/>
          <w:sz w:val="32"/>
          <w:szCs w:val="32"/>
        </w:rPr>
      </w:pPr>
    </w:p>
    <w:p w14:paraId="3949E782">
      <w:pPr>
        <w:adjustRightInd w:val="0"/>
        <w:snapToGrid w:val="0"/>
        <w:spacing w:line="540" w:lineRule="exact"/>
        <w:ind w:firstLine="658"/>
        <w:rPr>
          <w:rFonts w:ascii="黑体" w:hAnsi="黑体" w:eastAsia="黑体" w:cs="黑体"/>
          <w:bCs/>
          <w:sz w:val="32"/>
          <w:szCs w:val="32"/>
        </w:rPr>
      </w:pPr>
      <w:r>
        <w:rPr>
          <w:rFonts w:hint="eastAsia" w:ascii="黑体" w:hAnsi="黑体" w:eastAsia="黑体" w:cs="黑体"/>
          <w:bCs/>
          <w:sz w:val="32"/>
          <w:szCs w:val="32"/>
        </w:rPr>
        <w:t>一、评选范围</w:t>
      </w:r>
    </w:p>
    <w:p w14:paraId="1FEA8359">
      <w:pPr>
        <w:tabs>
          <w:tab w:val="left" w:pos="3692"/>
        </w:tabs>
        <w:autoSpaceDE w:val="0"/>
        <w:autoSpaceDN w:val="0"/>
        <w:adjustRightInd w:val="0"/>
        <w:snapToGrid w:val="0"/>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1、凡在南阳市境内，近三年竣工验收并交付使用</w:t>
      </w:r>
      <w:r>
        <w:rPr>
          <w:rFonts w:hint="eastAsia" w:ascii="仿宋" w:hAnsi="仿宋" w:eastAsia="仿宋" w:cs="仿宋"/>
          <w:spacing w:val="2"/>
          <w:sz w:val="32"/>
          <w:szCs w:val="32"/>
        </w:rPr>
        <w:t>的建筑装饰工程</w:t>
      </w:r>
      <w:r>
        <w:rPr>
          <w:rFonts w:hint="eastAsia" w:ascii="仿宋" w:hAnsi="仿宋" w:eastAsia="仿宋" w:cs="仿宋"/>
          <w:b/>
          <w:sz w:val="32"/>
          <w:szCs w:val="32"/>
        </w:rPr>
        <w:t>，</w:t>
      </w:r>
      <w:r>
        <w:rPr>
          <w:rFonts w:hint="eastAsia" w:ascii="仿宋" w:hAnsi="仿宋" w:eastAsia="仿宋" w:cs="仿宋"/>
          <w:sz w:val="32"/>
          <w:szCs w:val="32"/>
        </w:rPr>
        <w:t>且总体建筑装饰工程施工质量达到优良，装饰工程的面积不低于1000m</w:t>
      </w:r>
      <w:r>
        <w:rPr>
          <w:rFonts w:hint="eastAsia" w:ascii="仿宋" w:hAnsi="仿宋" w:eastAsia="仿宋" w:cs="仿宋"/>
          <w:sz w:val="32"/>
          <w:szCs w:val="32"/>
          <w:vertAlign w:val="superscript"/>
        </w:rPr>
        <w:t>2</w:t>
      </w:r>
      <w:r>
        <w:rPr>
          <w:rFonts w:hint="eastAsia" w:ascii="仿宋" w:hAnsi="仿宋" w:eastAsia="仿宋" w:cs="仿宋"/>
          <w:sz w:val="32"/>
          <w:szCs w:val="32"/>
        </w:rPr>
        <w:t>或装饰工程造价不低于人民币100万元（不含设备），银奖装饰工程面积不低于300 m</w:t>
      </w:r>
      <w:r>
        <w:rPr>
          <w:rFonts w:hint="eastAsia" w:ascii="仿宋" w:hAnsi="仿宋" w:eastAsia="仿宋" w:cs="仿宋"/>
          <w:sz w:val="32"/>
          <w:szCs w:val="32"/>
          <w:vertAlign w:val="superscript"/>
        </w:rPr>
        <w:t>2</w:t>
      </w:r>
      <w:r>
        <w:rPr>
          <w:rFonts w:hint="eastAsia" w:ascii="仿宋" w:hAnsi="仿宋" w:eastAsia="仿宋" w:cs="仿宋"/>
          <w:sz w:val="32"/>
          <w:szCs w:val="32"/>
        </w:rPr>
        <w:t>或装饰工程造价不低于人民币50万元（不含设备）的建筑装饰工程；</w:t>
      </w:r>
    </w:p>
    <w:p w14:paraId="092808B9">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2、古建筑、保护性文物建筑（含近现代文物建筑）的修复性建筑装饰工程和纪念性建筑装饰工程，装饰工程面积不低于1000 m</w:t>
      </w:r>
      <w:r>
        <w:rPr>
          <w:rFonts w:hint="eastAsia" w:ascii="仿宋" w:hAnsi="仿宋" w:eastAsia="仿宋" w:cs="仿宋"/>
          <w:sz w:val="32"/>
          <w:szCs w:val="32"/>
          <w:vertAlign w:val="superscript"/>
        </w:rPr>
        <w:t>2</w:t>
      </w:r>
      <w:r>
        <w:rPr>
          <w:rFonts w:hint="eastAsia" w:ascii="仿宋" w:hAnsi="仿宋" w:eastAsia="仿宋" w:cs="仿宋"/>
          <w:sz w:val="32"/>
          <w:szCs w:val="32"/>
        </w:rPr>
        <w:t>；银奖面积不低于500 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14:paraId="607D59F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3、确属非常优秀、有特色的单项建筑装饰工程项目，可不受规模及造价的限制，也可申报；</w:t>
      </w:r>
    </w:p>
    <w:p w14:paraId="216BCA73">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kern w:val="0"/>
          <w:sz w:val="32"/>
          <w:szCs w:val="32"/>
          <w:lang w:val="zh-CN"/>
        </w:rPr>
        <w:t>、</w:t>
      </w:r>
      <w:r>
        <w:rPr>
          <w:rFonts w:hint="eastAsia" w:ascii="仿宋" w:hAnsi="仿宋" w:eastAsia="仿宋" w:cs="仿宋"/>
          <w:sz w:val="32"/>
          <w:szCs w:val="32"/>
        </w:rPr>
        <w:t>下列建筑装饰工程不列入评选范围</w:t>
      </w:r>
    </w:p>
    <w:p w14:paraId="12E3886C">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end"/>
      </w:r>
      <w:r>
        <w:rPr>
          <w:rFonts w:hint="eastAsia" w:ascii="仿宋" w:hAnsi="仿宋" w:eastAsia="仿宋" w:cs="仿宋"/>
          <w:sz w:val="32"/>
          <w:szCs w:val="32"/>
        </w:rPr>
        <w:t>我市企业设计、施工的境外工程。</w:t>
      </w:r>
    </w:p>
    <w:p w14:paraId="775AA9A0">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②主体及装饰工程有质量隐患的。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end"/>
      </w:r>
    </w:p>
    <w:p w14:paraId="0126D87F">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③虽已建成使用，但未通过质量和消防验收的工程。</w:t>
      </w:r>
    </w:p>
    <w:p w14:paraId="7C8ABDAD">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④已经参加过“市优装饰奖”评选而未被评选上的工程。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end"/>
      </w:r>
    </w:p>
    <w:p w14:paraId="201A7581">
      <w:pPr>
        <w:adjustRightInd w:val="0"/>
        <w:snapToGrid w:val="0"/>
        <w:spacing w:line="540" w:lineRule="exact"/>
        <w:ind w:firstLine="658"/>
        <w:rPr>
          <w:rFonts w:ascii="黑体" w:hAnsi="黑体" w:eastAsia="黑体" w:cs="黑体"/>
          <w:bCs/>
          <w:sz w:val="32"/>
          <w:szCs w:val="32"/>
        </w:rPr>
      </w:pPr>
      <w:r>
        <w:rPr>
          <w:rFonts w:hint="eastAsia" w:ascii="黑体" w:hAnsi="黑体" w:eastAsia="黑体" w:cs="黑体"/>
          <w:bCs/>
          <w:sz w:val="32"/>
          <w:szCs w:val="32"/>
        </w:rPr>
        <w:t>二、评选条件</w:t>
      </w:r>
    </w:p>
    <w:p w14:paraId="28142F7D">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1、符合国家、住建部和河南省颁布的有关标准、规范要求，设计合理，使用功能完善。</w:t>
      </w:r>
    </w:p>
    <w:p w14:paraId="235A02C2">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凡申报“卧龙杯”奖（市优装饰工程）、“卧龙杯”银奖（用户满意装饰工程）的工程，必须由有资格的建设工程质量监督站验收备案，若无验收备案者，应委托相应有资质的机构一次性验收备案。否则不予受理。</w:t>
      </w:r>
    </w:p>
    <w:p w14:paraId="6D19A27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申报评选“卧龙杯”（市优装饰奖）、“卧龙杯”银奖（用户满意装饰工程）的工程，应通过项目法人或投资单位组织的全面验收，竣工备案符合要求；交付使用6个月以上，主体及装饰工程未出现质量问题和隐患。</w:t>
      </w:r>
    </w:p>
    <w:p w14:paraId="1515D550">
      <w:pPr>
        <w:adjustRightInd w:val="0"/>
        <w:snapToGrid w:val="0"/>
        <w:spacing w:line="540" w:lineRule="exact"/>
        <w:ind w:firstLine="658"/>
        <w:rPr>
          <w:rFonts w:ascii="黑体" w:hAnsi="黑体" w:eastAsia="黑体" w:cs="黑体"/>
          <w:bCs/>
          <w:sz w:val="32"/>
          <w:szCs w:val="32"/>
        </w:rPr>
      </w:pPr>
      <w:r>
        <w:rPr>
          <w:rFonts w:hint="eastAsia" w:ascii="黑体" w:hAnsi="黑体" w:eastAsia="黑体" w:cs="黑体"/>
          <w:bCs/>
          <w:sz w:val="32"/>
          <w:szCs w:val="32"/>
        </w:rPr>
        <w:t>三、申报程序</w:t>
      </w:r>
    </w:p>
    <w:p w14:paraId="405D1B98">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1、各县、区（市）装饰行业主管部门或行业协会负责南阳市建筑装饰工程“卧龙杯”奖（市优装饰工程）、“卧龙杯”银奖（用户满意装饰工程）的申报、初审和推荐工作。</w:t>
      </w:r>
    </w:p>
    <w:p w14:paraId="4D7A4603">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2、评选范围和申报条件，由申报单位向装饰行业主管部门、行业协会和有关部门领取申报表，并向其申报。</w:t>
      </w:r>
    </w:p>
    <w:p w14:paraId="065D7045">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四、申报资料及要求</w:t>
      </w:r>
    </w:p>
    <w:p w14:paraId="0E7BC6EE">
      <w:pPr>
        <w:adjustRightInd w:val="0"/>
        <w:snapToGrid w:val="0"/>
        <w:spacing w:line="540" w:lineRule="exact"/>
        <w:ind w:firstLine="658"/>
        <w:rPr>
          <w:rFonts w:ascii="楷体" w:hAnsi="楷体" w:eastAsia="楷体" w:cs="楷体"/>
          <w:b/>
          <w:bCs/>
          <w:sz w:val="32"/>
          <w:szCs w:val="32"/>
        </w:rPr>
      </w:pPr>
      <w:r>
        <w:rPr>
          <w:rFonts w:hint="eastAsia" w:ascii="楷体" w:hAnsi="楷体" w:eastAsia="楷体" w:cs="楷体"/>
          <w:b/>
          <w:bCs/>
          <w:sz w:val="32"/>
          <w:szCs w:val="32"/>
        </w:rPr>
        <w:t>1、申报资料</w:t>
      </w:r>
    </w:p>
    <w:p w14:paraId="4CC98D5E">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（1）《南阳市建筑装饰工程“卧龙杯”</w:t>
      </w:r>
      <w:r>
        <w:rPr>
          <w:rFonts w:hint="eastAsia" w:ascii="仿宋" w:hAnsi="仿宋" w:eastAsia="仿宋" w:cs="仿宋"/>
          <w:sz w:val="32"/>
          <w:szCs w:val="32"/>
          <w:lang w:eastAsia="zh-CN"/>
        </w:rPr>
        <w:t>金</w:t>
      </w:r>
      <w:bookmarkStart w:id="0" w:name="_GoBack"/>
      <w:bookmarkEnd w:id="0"/>
      <w:r>
        <w:rPr>
          <w:rFonts w:hint="eastAsia" w:ascii="仿宋" w:hAnsi="仿宋" w:eastAsia="仿宋" w:cs="仿宋"/>
          <w:sz w:val="32"/>
          <w:szCs w:val="32"/>
        </w:rPr>
        <w:t>奖（市优装饰工程）、“卧龙杯”银奖（用户满意装饰工程）奖申报表》一式两份。</w:t>
      </w:r>
    </w:p>
    <w:p w14:paraId="18FDD39C">
      <w:pPr>
        <w:adjustRightInd w:val="0"/>
        <w:snapToGrid w:val="0"/>
        <w:spacing w:line="540" w:lineRule="exact"/>
        <w:ind w:left="99" w:leftChars="47" w:firstLine="640" w:firstLineChars="200"/>
        <w:rPr>
          <w:rFonts w:ascii="仿宋" w:hAnsi="仿宋" w:eastAsia="仿宋" w:cs="仿宋"/>
          <w:sz w:val="32"/>
          <w:szCs w:val="32"/>
        </w:rPr>
      </w:pPr>
      <w:r>
        <w:rPr>
          <w:rFonts w:hint="eastAsia" w:ascii="仿宋" w:hAnsi="仿宋" w:eastAsia="仿宋" w:cs="仿宋"/>
          <w:sz w:val="32"/>
          <w:szCs w:val="32"/>
        </w:rPr>
        <w:t>（2）承建单位、设计单位的营业执照、资质证书、安全生产许可证复印件各一份，加盖本单位公章。</w:t>
      </w:r>
    </w:p>
    <w:p w14:paraId="279B4BE8">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（3）建筑装饰工程设计和施工合同书（合同的主要部分）、施工许可证复印件一份，加盖本单位公章。</w:t>
      </w:r>
    </w:p>
    <w:p w14:paraId="09B7FF0F">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（4）工程竣工验收和消防验收的证明文件复印件一份，加盖本单位公章。</w:t>
      </w:r>
    </w:p>
    <w:p w14:paraId="5A2B5F76">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（5）设计说明书，加盖设计师图鉴（章）的主要部位的平、立、剖面图，以及相应的设计修改证明文件。</w:t>
      </w:r>
    </w:p>
    <w:p w14:paraId="7713381D">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（6）与申报工程设计和施工有关的其他证明文件和材料。</w:t>
      </w:r>
    </w:p>
    <w:p w14:paraId="3D824D9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（7）反映工程概况和设计意图的彩色照片10张，建议请专业人员拍摄。</w:t>
      </w:r>
    </w:p>
    <w:p w14:paraId="2C9C7926">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（8）工程施工和设计主要负责人身份证复印件及相关的从业资格证书复印件各一份。负责人应是工程的施工和设计的直接负责人，与相应图纸和工程施工管理档案上的签字一致，并具有相应的资格。</w:t>
      </w:r>
    </w:p>
    <w:p w14:paraId="00571973">
      <w:pPr>
        <w:adjustRightInd w:val="0"/>
        <w:snapToGrid w:val="0"/>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2、资料的要求  </w:t>
      </w:r>
    </w:p>
    <w:p w14:paraId="37D9AC35">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《申报表》、彩色相片和设计图纸不再打印和装订，均以电子版形式提交。</w:t>
      </w:r>
    </w:p>
    <w:p w14:paraId="6F51007C">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五、工程申报、复查与评审</w:t>
      </w:r>
    </w:p>
    <w:p w14:paraId="7C86823B">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南阳市室内装饰业协会负责全市建筑装饰“卧龙杯”奖的评选工作。</w:t>
      </w:r>
    </w:p>
    <w:p w14:paraId="1DA64505">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1、工程申报</w:t>
      </w:r>
    </w:p>
    <w:p w14:paraId="09C70097">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“卧龙杯”奖每年评选一次，由南阳市室内装饰业协会负责下发《关于开展南阳市建筑装饰工程“卧龙杯”奖（市优质工程）评选活动通知》的文件，由建筑装饰施工企业自愿申报。</w:t>
      </w:r>
    </w:p>
    <w:p w14:paraId="56F2C53B">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2、工程复查</w:t>
      </w:r>
    </w:p>
    <w:p w14:paraId="46C7FBC6">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南阳市室内装饰业协会组织成立复查组，对申报工程进行初审并组织现场复验。复查组实行组长负责制，复查专家从南阳市室内装饰业协会专家库中按照回避原则抽取。南阳市室内装饰业协会抽派联络员，负责服务、协调、联络工作。</w:t>
      </w:r>
    </w:p>
    <w:p w14:paraId="4F05B5A7">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3、工程复查的内容和要求</w:t>
      </w:r>
    </w:p>
    <w:p w14:paraId="797A56FA">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听取承建单位对工程施工和质量的情况汇报。主要汇报工程概况、工程技术难点、特点与新技术推广应用情况、绿色建筑技术推广应用情况、工程质量情况、工程主要质量特色、工程技术资料情况、工程绿色施工技术推广应用情况、工程有待改进之处、获奖情况及综合效果等。</w:t>
      </w:r>
    </w:p>
    <w:p w14:paraId="74946546">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(2)实地查验工程质量水平。凡是复查小组要求查看的工程内容和部位，都必须予以满足，不得以任何理由回避或拒绝。</w:t>
      </w:r>
    </w:p>
    <w:p w14:paraId="65ADF414">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(3)听取使用单位（建设单位）、质量监督单位和设计单位、监理单位对工程质量的评价意见。复查小组在听取评价意见时，承建单位和参建单位的有关人员应当回避。</w:t>
      </w:r>
    </w:p>
    <w:p w14:paraId="3B930646">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(4)查阅工程有关的业内资料。</w:t>
      </w:r>
    </w:p>
    <w:p w14:paraId="62966C58">
      <w:pPr>
        <w:tabs>
          <w:tab w:val="left" w:pos="586"/>
          <w:tab w:val="left" w:pos="2344"/>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(5)复查小组对工程复查的有关情况进行现场讲评。</w:t>
      </w:r>
    </w:p>
    <w:p w14:paraId="2B45402E">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(6)复查小组向评审委员会汇报复查情况，提出推荐意见，并提交书面复查报告。</w:t>
      </w:r>
    </w:p>
    <w:p w14:paraId="43804C15">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4、工程评审</w:t>
      </w:r>
    </w:p>
    <w:p w14:paraId="2D76F151">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南阳市室内装饰业协会成立“卧龙杯”奖评审委员会，负责评审工作，并下设办公室，具体负责复查汇总后的初审及有关事宜。评审委员须由具有丰富实践经验的专家组成。评审委员原则上由本市建筑装饰业企业、行业主管部门和有关单位推荐。每次评审根据需要从专家库中按照回避原则抽取，并实行动态管理。评审委员会根据被推荐工程的申报资料和工程复查专家组的推荐意见，采取查看工程资料、评议和投票的方式，评出获奖工程。</w:t>
      </w:r>
    </w:p>
    <w:p w14:paraId="0A6AFACC">
      <w:pPr>
        <w:tabs>
          <w:tab w:val="left" w:pos="0"/>
        </w:tabs>
        <w:adjustRightInd w:val="0"/>
        <w:snapToGrid w:val="0"/>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5、</w:t>
      </w:r>
      <w:r>
        <w:rPr>
          <w:rFonts w:hint="eastAsia" w:ascii="仿宋" w:hAnsi="仿宋" w:eastAsia="仿宋" w:cs="仿宋"/>
          <w:color w:val="000000"/>
          <w:sz w:val="32"/>
          <w:szCs w:val="32"/>
        </w:rPr>
        <w:t>获奖结果由南阳市室内装饰业协会组织公示、公布。</w:t>
      </w:r>
    </w:p>
    <w:p w14:paraId="6D8FFB86">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六、奖励</w:t>
      </w:r>
    </w:p>
    <w:p w14:paraId="4D409CAB">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南阳市室内装饰业协会</w:t>
      </w:r>
      <w:r>
        <w:rPr>
          <w:rFonts w:hint="eastAsia" w:ascii="仿宋" w:hAnsi="仿宋" w:eastAsia="仿宋" w:cs="仿宋"/>
          <w:sz w:val="32"/>
          <w:szCs w:val="32"/>
        </w:rPr>
        <w:t>每年召开一次颁奖大会，向 “卧龙杯”获奖单位授予获奖证书和奖牌、奖杯，并进行通报表彰。</w:t>
      </w:r>
    </w:p>
    <w:p w14:paraId="29E955C6">
      <w:pPr>
        <w:tabs>
          <w:tab w:val="left" w:pos="0"/>
        </w:tabs>
        <w:adjustRightInd w:val="0"/>
        <w:snapToGrid w:val="0"/>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2、“卧龙杯”奖评审委员会从荣获“卧龙杯”奖的工程中，选拔符合条件的工程向省推荐申报“中州杯”奖（省优装饰工程）、“中州杯”银奖（用户满意装饰工程）。</w:t>
      </w:r>
    </w:p>
    <w:p w14:paraId="4DB758C7">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3、各有关部门和获奖单位可根据本县</w:t>
      </w:r>
      <w:r>
        <w:rPr>
          <w:rFonts w:hint="eastAsia" w:ascii="仿宋" w:hAnsi="仿宋" w:eastAsia="仿宋" w:cs="仿宋"/>
          <w:sz w:val="32"/>
          <w:szCs w:val="32"/>
        </w:rPr>
        <w:t>（市、区）、本部门实际情况，对获奖单位和有关人员给予奖励。对“卧龙杯”奖获奖企业，在工程招标过</w:t>
      </w:r>
      <w:r>
        <w:rPr>
          <w:rFonts w:hint="eastAsia" w:ascii="仿宋" w:hAnsi="仿宋" w:eastAsia="仿宋" w:cs="仿宋"/>
          <w:color w:val="000000"/>
          <w:sz w:val="32"/>
          <w:szCs w:val="32"/>
        </w:rPr>
        <w:t>程中予以优先考虑。</w:t>
      </w:r>
    </w:p>
    <w:p w14:paraId="05572B9F">
      <w:pPr>
        <w:tabs>
          <w:tab w:val="left" w:pos="0"/>
        </w:tabs>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七、纪律</w:t>
      </w:r>
    </w:p>
    <w:p w14:paraId="42106F1F">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1、协会工作人员及专家、评审委员应做到</w:t>
      </w:r>
      <w:r>
        <w:rPr>
          <w:rFonts w:hint="eastAsia" w:ascii="仿宋" w:hAnsi="仿宋" w:eastAsia="仿宋" w:cs="仿宋"/>
          <w:color w:val="000000"/>
          <w:sz w:val="32"/>
          <w:szCs w:val="32"/>
        </w:rPr>
        <w:t>公开、公正、公平、廉洁地履行职责，主动接受公众监督。</w:t>
      </w:r>
    </w:p>
    <w:p w14:paraId="0A55D049">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2、申报单位应坚持实事求是，不得弄虚作假。对违反者，视情节轻重给予批评教育、撤销申报资格、通报批评、直至取消获奖资格等处罚。</w:t>
      </w:r>
    </w:p>
    <w:p w14:paraId="4F8878CA">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3、任何单位和个人不得仿制和伪造“卧龙杯”奖杯、奖牌和证书。</w:t>
      </w:r>
    </w:p>
    <w:p w14:paraId="087D5B2B">
      <w:pPr>
        <w:adjustRightInd w:val="0"/>
        <w:snapToGrid w:val="0"/>
        <w:spacing w:line="540" w:lineRule="exact"/>
        <w:rPr>
          <w:rFonts w:ascii="仿宋" w:hAnsi="仿宋" w:eastAsia="仿宋" w:cs="仿宋"/>
          <w:sz w:val="32"/>
          <w:szCs w:val="32"/>
        </w:rPr>
      </w:pPr>
    </w:p>
    <w:p w14:paraId="7D38CD44">
      <w:pPr>
        <w:widowControl/>
        <w:shd w:val="clear" w:color="auto" w:fill="FFFFFF"/>
        <w:adjustRightInd w:val="0"/>
        <w:snapToGrid w:val="0"/>
        <w:spacing w:line="540" w:lineRule="exact"/>
        <w:rPr>
          <w:rFonts w:ascii="仿宋" w:hAnsi="仿宋" w:eastAsia="仿宋" w:cs="仿宋"/>
          <w:color w:val="333333"/>
          <w:kern w:val="0"/>
          <w:sz w:val="32"/>
          <w:szCs w:val="32"/>
          <w:shd w:val="clear" w:color="auto" w:fill="FFFFFF"/>
        </w:rPr>
      </w:pPr>
    </w:p>
    <w:p w14:paraId="6E69B0F4"/>
    <w:sectPr>
      <w:footerReference r:id="rId3" w:type="default"/>
      <w:pgSz w:w="11906" w:h="16838"/>
      <w:pgMar w:top="1440" w:right="141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8FF9">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14:paraId="4A7A74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1NDYyZTFiY2Q4Y2E0ZWMwMzQzNWNlOGQzZTc1ZjYifQ=="/>
  </w:docVars>
  <w:rsids>
    <w:rsidRoot w:val="2FD23747"/>
    <w:rsid w:val="000B696C"/>
    <w:rsid w:val="000E7AAE"/>
    <w:rsid w:val="001D3777"/>
    <w:rsid w:val="0027297A"/>
    <w:rsid w:val="004A4F86"/>
    <w:rsid w:val="00500A69"/>
    <w:rsid w:val="00604961"/>
    <w:rsid w:val="00610149"/>
    <w:rsid w:val="006F7DAE"/>
    <w:rsid w:val="00707257"/>
    <w:rsid w:val="00721A91"/>
    <w:rsid w:val="008E128C"/>
    <w:rsid w:val="00B7051A"/>
    <w:rsid w:val="00C44EFE"/>
    <w:rsid w:val="00CD1B2D"/>
    <w:rsid w:val="00D5709E"/>
    <w:rsid w:val="00E400F4"/>
    <w:rsid w:val="06707088"/>
    <w:rsid w:val="20096908"/>
    <w:rsid w:val="246E0307"/>
    <w:rsid w:val="2FD23747"/>
    <w:rsid w:val="35D0687A"/>
    <w:rsid w:val="3E985148"/>
    <w:rsid w:val="4E801B5B"/>
    <w:rsid w:val="6B43012B"/>
    <w:rsid w:val="6F991064"/>
    <w:rsid w:val="72D2772C"/>
    <w:rsid w:val="77212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2313</Words>
  <Characters>2344</Characters>
  <Lines>17</Lines>
  <Paragraphs>4</Paragraphs>
  <TotalTime>37</TotalTime>
  <ScaleCrop>false</ScaleCrop>
  <LinksUpToDate>false</LinksUpToDate>
  <CharactersWithSpaces>2350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2022-08-31T08:39:00Z</dcterms:created>
  <dc:creator>Administrator</dc:creator>
  <cp:lastModifiedBy>辰阳</cp:lastModifiedBy>
  <dcterms:modified xsi:type="dcterms:W3CDTF">2024-12-30T09:58:04Z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2237804CAC06425087DF9BA6BE95B06C_12</vt:lpwstr>
  </property>
  <property fmtid="{D5CDD505-2E9C-101B-9397-08002B2CF9AE}" pid="4" name="KSOTemplateDocerSaveRecord">
    <vt:lpwstr>eyJoZGlkIjoiYTA1NDYyZTFiY2Q4Y2E0ZWMwMzQzNWNlOGQzZTc1ZjYiLCJ1c2VySWQiOiIxMjE0OTM5MDg4In0=</vt:lpwstr>
  </property>
</Properties>
</file>